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100"/>
      </w:pPr>
      <w:r>
        <w:rPr>
          <w:rFonts w:ascii="Calibri" w:cs="Calibri" w:eastAsia="Calibri" w:hAnsi="Calibri"/>
          <w:b/>
          <w:bCs/>
          <w:color w:val="2E74B5"/>
          <w:sz w:val="22"/>
          <w:szCs w:val="22"/>
        </w:rPr>
        <w:t xml:space="preserve">BUSINESS RESILIENCE PULSE CHECK</w:t>
      </w:r>
    </w:p>
    <w:p>
      <w:pPr>
        <w:spacing w:after="200"/>
      </w:pPr>
      <w:r>
        <w:rPr>
          <w:rFonts w:ascii="Calibri" w:cs="Calibri" w:eastAsia="Calibri" w:hAnsi="Calibri"/>
          <w:b/>
          <w:bCs/>
          <w:color w:val="595959"/>
          <w:sz w:val="20"/>
          <w:szCs w:val="20"/>
        </w:rPr>
        <w:t xml:space="preserve">SCENARIO PACKAGE GS-4</w:t>
      </w:r>
    </w:p>
    <w:p>
      <w:pPr>
        <w:spacing w:after="120"/>
      </w:pPr>
      <w:r>
        <w:rPr>
          <w:rFonts w:ascii="Calibri" w:cs="Calibri" w:eastAsia="Calibri" w:hAnsi="Calibri"/>
          <w:b/>
          <w:bCs/>
          <w:color w:val="1F3864"/>
          <w:sz w:val="52"/>
          <w:szCs w:val="52"/>
        </w:rPr>
        <w:t xml:space="preserve">Supply Chain Failure</w:t>
      </w:r>
    </w:p>
    <w:p>
      <w:pPr>
        <w:spacing w:after="100"/>
      </w:pPr>
      <w:r>
        <w:rPr>
          <w:rFonts w:ascii="Calibri" w:cs="Calibri" w:eastAsia="Calibri" w:hAnsi="Calibri"/>
          <w:color w:val="595959"/>
          <w:sz w:val="24"/>
          <w:szCs w:val="24"/>
        </w:rPr>
        <w:t xml:space="preserve">Critical Vendor Disruption — Business Response Focus</w:t>
      </w:r>
    </w:p>
    <w:p>
      <w:pPr>
        <w:pBdr>
          <w:bottom w:val="single" w:color="2E74B5" w:sz="8" w:space="6"/>
        </w:pBdr>
        <w:spacing w:after="80"/>
      </w:pPr>
      <w:r>
        <w:rPr>
          <w:rFonts w:ascii="Calibri" w:cs="Calibri" w:eastAsia="Calibri" w:hAnsi="Calibri"/>
          <w:color w:val="595959"/>
          <w:sz w:val="20"/>
          <w:szCs w:val="20"/>
        </w:rPr>
        <w:t xml:space="preserve">Industry: General / Industry-Agnostic  |  Duration: 2–3 Hours  |  Version 1.0  |  July 2026</w:t>
      </w:r>
    </w:p>
    <w:p>
      <w:pPr>
        <w:spacing w:after="160"/>
      </w:pPr>
    </w:p>
    <w:p>
      <w:pPr>
        <w:pStyle w:val="Heading1"/>
        <w:keepNext/>
        <w:spacing w:after="140" w:before="320"/>
      </w:pPr>
      <w:r>
        <w:rPr>
          <w:rFonts w:ascii="Calibri" w:cs="Calibri" w:eastAsia="Calibri" w:hAnsi="Calibri"/>
          <w:b/>
          <w:bCs/>
          <w:color w:val="1F3864"/>
          <w:sz w:val="30"/>
          <w:szCs w:val="30"/>
        </w:rPr>
        <w:t xml:space="preserve">Scenario Overview</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100"/>
        <w:gridCol w:w="6260"/>
      </w:tblGrid>
      <w:tr>
        <w:trPr>
          <w:tblHeader/>
        </w:trPr>
        <w:tc>
          <w:tcPr>
            <w:tcW w:type="dxa" w:w="31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Field</w:t>
            </w:r>
          </w:p>
        </w:tc>
        <w:tc>
          <w:tcPr>
            <w:tcW w:type="dxa" w:w="62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Detail</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Threat category</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Supply Chain / Critical Vendor Failure</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Business response focus</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Vendor dependency awareness, continuity planning, contractual protections, and alternative sourcing — tested through decision-making, communication, and coordination, not technical response.</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Duration</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2–3 hours (3 modules + hot wash)</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Recommended participants</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CEO/COO, CFO, Operations, IT, Procurement/Vendor Management, Legal, affected department heads</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Key decisions tested</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Service continuity, client communication, financial impact, alternative vendor engagement, contractual remedies</w:t>
            </w:r>
          </w:p>
        </w:tc>
      </w:tr>
    </w:tbl>
    <w:p>
      <w:pPr>
        <w:pStyle w:val="Heading1"/>
        <w:keepNext/>
        <w:spacing w:after="140" w:before="320"/>
      </w:pPr>
      <w:r>
        <w:rPr>
          <w:rFonts w:ascii="Calibri" w:cs="Calibri" w:eastAsia="Calibri" w:hAnsi="Calibri"/>
          <w:b/>
          <w:bCs/>
          <w:color w:val="1F3864"/>
          <w:sz w:val="30"/>
          <w:szCs w:val="30"/>
        </w:rPr>
        <w:t xml:space="preserve">Scenario Narrative</w:t>
      </w:r>
    </w:p>
    <w:p>
      <w:pPr>
        <w:pStyle w:val="Heading2"/>
        <w:keepNext/>
        <w:spacing w:after="110" w:before="240"/>
      </w:pPr>
      <w:r>
        <w:rPr>
          <w:rFonts w:ascii="Calibri" w:cs="Calibri" w:eastAsia="Calibri" w:hAnsi="Calibri"/>
          <w:b/>
          <w:bCs/>
          <w:color w:val="2E74B5"/>
          <w:sz w:val="25"/>
          <w:szCs w:val="25"/>
        </w:rPr>
        <w:t xml:space="preserve">Background</w:t>
      </w:r>
    </w:p>
    <w:p>
      <w:pPr>
        <w:spacing w:after="120" w:before="0" w:line="276"/>
      </w:pPr>
      <w:r>
        <w:rPr>
          <w:rFonts w:ascii="Calibri" w:cs="Calibri" w:eastAsia="Calibri" w:hAnsi="Calibri"/>
          <w:color w:val="404040"/>
          <w:sz w:val="21"/>
          <w:szCs w:val="21"/>
        </w:rPr>
        <w:t xml:space="preserve">[ORGANIZATION NAME] relies on [CUSTOMIZE: vendor name/type] as its primary provider of [CUSTOMIZE: critical service — e.g., cloud hosting, billing platform, raw materials, logistics, specialized software]. This vendor handles approximately [CUSTOMIZE: X%] of the organization’s [CUSTOMIZE: revenue-generating activity / operational capability]. The relationship has been stable for [CUSTOMIZE: number] years. No formal alternative supplier has been identified or pre-qualified.</w:t>
      </w:r>
    </w:p>
    <w:p>
      <w:pPr>
        <w:spacing w:after="120" w:before="0" w:line="276"/>
      </w:pPr>
      <w:r>
        <w:rPr>
          <w:rFonts w:ascii="Calibri" w:cs="Calibri" w:eastAsia="Calibri" w:hAnsi="Calibri"/>
          <w:color w:val="404040"/>
          <w:sz w:val="21"/>
          <w:szCs w:val="21"/>
        </w:rPr>
        <w:t xml:space="preserve">It is Tuesday morning. The vendor’s service has been intermittently unavailable since last night. Calls to the vendor’s support line are going to voicemail. Their website displays a generic “service disruption” notice with no timeline for resolution.</w:t>
      </w:r>
    </w:p>
    <w:p>
      <w:pPr>
        <w:pStyle w:val="Heading2"/>
        <w:keepNext/>
        <w:spacing w:after="110" w:before="240"/>
      </w:pPr>
      <w:r>
        <w:rPr>
          <w:rFonts w:ascii="Calibri" w:cs="Calibri" w:eastAsia="Calibri" w:hAnsi="Calibri"/>
          <w:b/>
          <w:bCs/>
          <w:color w:val="2E74B5"/>
          <w:sz w:val="25"/>
          <w:szCs w:val="25"/>
        </w:rPr>
        <w:t xml:space="preserve">Module 1: Discovery and Initial Assessment (25–30 minutes)</w:t>
      </w:r>
    </w:p>
    <w:p>
      <w:pPr>
        <w:spacing w:after="120" w:before="0" w:line="276"/>
      </w:pPr>
      <w:r>
        <w:rPr>
          <w:rFonts w:ascii="Calibri" w:cs="Calibri" w:eastAsia="Calibri" w:hAnsi="Calibri"/>
          <w:color w:val="404040"/>
          <w:sz w:val="21"/>
          <w:szCs w:val="21"/>
        </w:rPr>
        <w:t xml:space="preserve">The vendor has gone quiet and the outage is entering its second day. Module 1 establishes how well the organization actually understands the dependency: what the vendor provides, what the contract promises, and what breaks — and how fast — if the relationship fails entirely.</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Discussion questions:</w:t>
      </w:r>
      <w:r>
        <w:rPr>
          <w:rFonts w:ascii="Calibri" w:cs="Calibri" w:eastAsia="Calibri" w:hAnsi="Calibri"/>
          <w:color w:val="404040"/>
          <w:sz w:val="21"/>
          <w:szCs w:val="21"/>
        </w:rPr>
        <w:t xml:space="preserve"/>
      </w:r>
    </w:p>
    <w:p>
      <w:pPr>
        <w:pStyle w:val="ListParagraph"/>
        <w:numPr>
          <w:ilvl w:val="0"/>
          <w:numId w:val="2"/>
        </w:numPr>
        <w:spacing w:after="80" w:line="276"/>
      </w:pPr>
      <w:r>
        <w:rPr>
          <w:rFonts w:ascii="Calibri" w:cs="Calibri" w:eastAsia="Calibri" w:hAnsi="Calibri"/>
          <w:color w:val="404040"/>
          <w:sz w:val="21"/>
          <w:szCs w:val="21"/>
        </w:rPr>
        <w:t xml:space="preserve">How dependent are we on this vendor? Do we know exactly what they provide and what breaks without them?</w:t>
      </w:r>
    </w:p>
    <w:p>
      <w:pPr>
        <w:pStyle w:val="ListParagraph"/>
        <w:numPr>
          <w:ilvl w:val="0"/>
          <w:numId w:val="2"/>
        </w:numPr>
        <w:spacing w:after="80" w:line="276"/>
      </w:pPr>
      <w:r>
        <w:rPr>
          <w:rFonts w:ascii="Calibri" w:cs="Calibri" w:eastAsia="Calibri" w:hAnsi="Calibri"/>
          <w:color w:val="404040"/>
          <w:sz w:val="21"/>
          <w:szCs w:val="21"/>
        </w:rPr>
        <w:t xml:space="preserve">Do we have a contractual SLA with this vendor? Do we know what remedies it provides?</w:t>
      </w:r>
    </w:p>
    <w:p>
      <w:pPr>
        <w:pStyle w:val="ListParagraph"/>
        <w:numPr>
          <w:ilvl w:val="0"/>
          <w:numId w:val="2"/>
        </w:numPr>
        <w:spacing w:after="80" w:line="276"/>
      </w:pPr>
      <w:r>
        <w:rPr>
          <w:rFonts w:ascii="Calibri" w:cs="Calibri" w:eastAsia="Calibri" w:hAnsi="Calibri"/>
          <w:color w:val="404040"/>
          <w:sz w:val="21"/>
          <w:szCs w:val="21"/>
        </w:rPr>
        <w:t xml:space="preserve">If this vendor is having financial difficulties, what is our exposure? Is our data on their systems? Could we lose it?</w:t>
      </w:r>
    </w:p>
    <w:p>
      <w:pPr>
        <w:pStyle w:val="ListParagraph"/>
        <w:numPr>
          <w:ilvl w:val="0"/>
          <w:numId w:val="2"/>
        </w:numPr>
        <w:spacing w:after="80" w:line="276"/>
      </w:pPr>
      <w:r>
        <w:rPr>
          <w:rFonts w:ascii="Calibri" w:cs="Calibri" w:eastAsia="Calibri" w:hAnsi="Calibri"/>
          <w:color w:val="404040"/>
          <w:sz w:val="21"/>
          <w:szCs w:val="21"/>
        </w:rPr>
        <w:t xml:space="preserve">Is there an alternative provider we could engage? How quickly? What would the transition cost?</w:t>
      </w:r>
    </w:p>
    <w:p>
      <w:pPr>
        <w:pStyle w:val="ListParagraph"/>
        <w:numPr>
          <w:ilvl w:val="0"/>
          <w:numId w:val="2"/>
        </w:numPr>
        <w:spacing w:after="80" w:line="276"/>
      </w:pPr>
      <w:r>
        <w:rPr>
          <w:rFonts w:ascii="Calibri" w:cs="Calibri" w:eastAsia="Calibri" w:hAnsi="Calibri"/>
          <w:color w:val="404040"/>
          <w:sz w:val="21"/>
          <w:szCs w:val="21"/>
        </w:rPr>
        <w:t xml:space="preserve">Who owns this vendor relationship day to day, and who needs to be in the room for the decisions ahead?</w:t>
      </w:r>
    </w:p>
    <w:p>
      <w:pPr>
        <w:pStyle w:val="Heading2"/>
        <w:keepNext/>
        <w:spacing w:after="110" w:before="240"/>
      </w:pPr>
      <w:r>
        <w:rPr>
          <w:rFonts w:ascii="Calibri" w:cs="Calibri" w:eastAsia="Calibri" w:hAnsi="Calibri"/>
          <w:b/>
          <w:bCs/>
          <w:color w:val="2E74B5"/>
          <w:sz w:val="25"/>
          <w:szCs w:val="25"/>
        </w:rPr>
        <w:t xml:space="preserve">Module 2: Client Impact and Decision-Making (25–30 minutes)</w:t>
      </w:r>
    </w:p>
    <w:p>
      <w:pPr>
        <w:spacing w:after="120" w:before="0" w:line="276"/>
      </w:pPr>
      <w:r>
        <w:rPr>
          <w:rFonts w:ascii="Calibri" w:cs="Calibri" w:eastAsia="Calibri" w:hAnsi="Calibri"/>
          <w:color w:val="404040"/>
          <w:sz w:val="21"/>
          <w:szCs w:val="21"/>
        </w:rPr>
        <w:t xml:space="preserve">The outage is no longer an internal inconvenience: client deliverables are at risk, the financial meter is running, and the vendor’s only communication is a vague apology. Module 2 forces the pivot from waiting to deciding.</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Discussion questions:</w:t>
      </w:r>
      <w:r>
        <w:rPr>
          <w:rFonts w:ascii="Calibri" w:cs="Calibri" w:eastAsia="Calibri" w:hAnsi="Calibri"/>
          <w:color w:val="404040"/>
          <w:sz w:val="21"/>
          <w:szCs w:val="21"/>
        </w:rPr>
        <w:t xml:space="preserve"/>
      </w:r>
    </w:p>
    <w:p>
      <w:pPr>
        <w:pStyle w:val="ListParagraph"/>
        <w:numPr>
          <w:ilvl w:val="0"/>
          <w:numId w:val="2"/>
        </w:numPr>
        <w:spacing w:after="80" w:line="276"/>
      </w:pPr>
      <w:r>
        <w:rPr>
          <w:rFonts w:ascii="Calibri" w:cs="Calibri" w:eastAsia="Calibri" w:hAnsi="Calibri"/>
          <w:color w:val="404040"/>
          <w:sz w:val="21"/>
          <w:szCs w:val="21"/>
        </w:rPr>
        <w:t xml:space="preserve">This vendor response tells you almost nothing. What does that silence mean? What should you infer?</w:t>
      </w:r>
    </w:p>
    <w:p>
      <w:pPr>
        <w:pStyle w:val="ListParagraph"/>
        <w:numPr>
          <w:ilvl w:val="0"/>
          <w:numId w:val="2"/>
        </w:numPr>
        <w:spacing w:after="80" w:line="276"/>
      </w:pPr>
      <w:r>
        <w:rPr>
          <w:rFonts w:ascii="Calibri" w:cs="Calibri" w:eastAsia="Calibri" w:hAnsi="Calibri"/>
          <w:color w:val="404040"/>
          <w:sz w:val="21"/>
          <w:szCs w:val="21"/>
        </w:rPr>
        <w:t xml:space="preserve">At what point do you stop waiting for the vendor and activate a contingency plan? Who makes that call?</w:t>
      </w:r>
    </w:p>
    <w:p>
      <w:pPr>
        <w:pStyle w:val="ListParagraph"/>
        <w:numPr>
          <w:ilvl w:val="0"/>
          <w:numId w:val="2"/>
        </w:numPr>
        <w:spacing w:after="80" w:line="276"/>
      </w:pPr>
      <w:r>
        <w:rPr>
          <w:rFonts w:ascii="Calibri" w:cs="Calibri" w:eastAsia="Calibri" w:hAnsi="Calibri"/>
          <w:color w:val="404040"/>
          <w:sz w:val="21"/>
          <w:szCs w:val="21"/>
        </w:rPr>
        <w:t xml:space="preserve">What do you tell your clients right now? Do you blame the vendor? Do you take ownership?</w:t>
      </w:r>
    </w:p>
    <w:p>
      <w:pPr>
        <w:pStyle w:val="ListParagraph"/>
        <w:numPr>
          <w:ilvl w:val="0"/>
          <w:numId w:val="2"/>
        </w:numPr>
        <w:spacing w:after="80" w:line="276"/>
      </w:pPr>
      <w:r>
        <w:rPr>
          <w:rFonts w:ascii="Calibri" w:cs="Calibri" w:eastAsia="Calibri" w:hAnsi="Calibri"/>
          <w:color w:val="404040"/>
          <w:sz w:val="21"/>
          <w:szCs w:val="21"/>
        </w:rPr>
        <w:t xml:space="preserve">What are your legal options? Can you terminate the vendor contract? What does the contract say about prolonged outages?</w:t>
      </w:r>
    </w:p>
    <w:p>
      <w:pPr>
        <w:pStyle w:val="ListParagraph"/>
        <w:numPr>
          <w:ilvl w:val="0"/>
          <w:numId w:val="2"/>
        </w:numPr>
        <w:spacing w:after="80" w:line="276"/>
      </w:pPr>
      <w:r>
        <w:rPr>
          <w:rFonts w:ascii="Calibri" w:cs="Calibri" w:eastAsia="Calibri" w:hAnsi="Calibri"/>
          <w:color w:val="404040"/>
          <w:sz w:val="21"/>
          <w:szCs w:val="21"/>
        </w:rPr>
        <w:t xml:space="preserve">Which clients or obligations get priority if you can only partially work around the outage?</w:t>
      </w:r>
    </w:p>
    <w:p>
      <w:pPr>
        <w:pStyle w:val="Heading2"/>
        <w:keepNext/>
        <w:spacing w:after="110" w:before="240"/>
      </w:pPr>
      <w:r>
        <w:rPr>
          <w:rFonts w:ascii="Calibri" w:cs="Calibri" w:eastAsia="Calibri" w:hAnsi="Calibri"/>
          <w:b/>
          <w:bCs/>
          <w:color w:val="2E74B5"/>
          <w:sz w:val="25"/>
          <w:szCs w:val="25"/>
        </w:rPr>
        <w:t xml:space="preserve">Module 3: Recovery and Structural Response (25–30 minutes)</w:t>
      </w:r>
    </w:p>
    <w:p>
      <w:pPr>
        <w:spacing w:after="120" w:before="0" w:line="276"/>
      </w:pPr>
      <w:r>
        <w:rPr>
          <w:rFonts w:ascii="Calibri" w:cs="Calibri" w:eastAsia="Calibri" w:hAnsi="Calibri"/>
          <w:color w:val="404040"/>
          <w:sz w:val="21"/>
          <w:szCs w:val="21"/>
        </w:rPr>
        <w:t xml:space="preserve">The acute phase is ending — either the vendor is collapsing or service is back with no explanation. Module 3 tests whether the organization converts a painful week into structural change: data protection, vendor risk management, and an honest answer to the board.</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Discussion questions:</w:t>
      </w:r>
      <w:r>
        <w:rPr>
          <w:rFonts w:ascii="Calibri" w:cs="Calibri" w:eastAsia="Calibri" w:hAnsi="Calibri"/>
          <w:color w:val="404040"/>
          <w:sz w:val="21"/>
          <w:szCs w:val="21"/>
        </w:rPr>
        <w:t xml:space="preserve"/>
      </w:r>
    </w:p>
    <w:p>
      <w:pPr>
        <w:pStyle w:val="ListParagraph"/>
        <w:numPr>
          <w:ilvl w:val="0"/>
          <w:numId w:val="2"/>
        </w:numPr>
        <w:spacing w:after="80" w:line="276"/>
      </w:pPr>
      <w:r>
        <w:rPr>
          <w:rFonts w:ascii="Calibri" w:cs="Calibri" w:eastAsia="Calibri" w:hAnsi="Calibri"/>
          <w:color w:val="404040"/>
          <w:sz w:val="21"/>
          <w:szCs w:val="21"/>
        </w:rPr>
        <w:t xml:space="preserve">If the vendor is going bankrupt, what do you need to do in the next 30 days to protect your operations and data?</w:t>
      </w:r>
    </w:p>
    <w:p>
      <w:pPr>
        <w:pStyle w:val="ListParagraph"/>
        <w:numPr>
          <w:ilvl w:val="0"/>
          <w:numId w:val="2"/>
        </w:numPr>
        <w:spacing w:after="80" w:line="276"/>
      </w:pPr>
      <w:r>
        <w:rPr>
          <w:rFonts w:ascii="Calibri" w:cs="Calibri" w:eastAsia="Calibri" w:hAnsi="Calibri"/>
          <w:color w:val="404040"/>
          <w:sz w:val="21"/>
          <w:szCs w:val="21"/>
        </w:rPr>
        <w:t xml:space="preserve">If the vendor restored service but can’t explain the outage, do you trust them with your operations going forward?</w:t>
      </w:r>
    </w:p>
    <w:p>
      <w:pPr>
        <w:pStyle w:val="ListParagraph"/>
        <w:numPr>
          <w:ilvl w:val="0"/>
          <w:numId w:val="2"/>
        </w:numPr>
        <w:spacing w:after="80" w:line="276"/>
      </w:pPr>
      <w:r>
        <w:rPr>
          <w:rFonts w:ascii="Calibri" w:cs="Calibri" w:eastAsia="Calibri" w:hAnsi="Calibri"/>
          <w:color w:val="404040"/>
          <w:sz w:val="21"/>
          <w:szCs w:val="21"/>
        </w:rPr>
        <w:t xml:space="preserve">How do you answer the board’s question: how did we get this dependent with no backup plan?</w:t>
      </w:r>
    </w:p>
    <w:p>
      <w:pPr>
        <w:pStyle w:val="ListParagraph"/>
        <w:numPr>
          <w:ilvl w:val="0"/>
          <w:numId w:val="2"/>
        </w:numPr>
        <w:spacing w:after="80" w:line="276"/>
      </w:pPr>
      <w:r>
        <w:rPr>
          <w:rFonts w:ascii="Calibri" w:cs="Calibri" w:eastAsia="Calibri" w:hAnsi="Calibri"/>
          <w:color w:val="404040"/>
          <w:sz w:val="21"/>
          <w:szCs w:val="21"/>
        </w:rPr>
        <w:t xml:space="preserve">What would a vendor risk management program look like for your organization? What is the minimum viable version?</w:t>
      </w:r>
    </w:p>
    <w:p>
      <w:pPr>
        <w:pStyle w:val="ListParagraph"/>
        <w:numPr>
          <w:ilvl w:val="0"/>
          <w:numId w:val="2"/>
        </w:numPr>
        <w:spacing w:after="80" w:line="276"/>
      </w:pPr>
      <w:r>
        <w:rPr>
          <w:rFonts w:ascii="Calibri" w:cs="Calibri" w:eastAsia="Calibri" w:hAnsi="Calibri"/>
          <w:color w:val="404040"/>
          <w:sz w:val="21"/>
          <w:szCs w:val="21"/>
        </w:rPr>
        <w:t xml:space="preserve">Should you diversify vendors even if it costs more? How do you evaluate that trade-off?</w:t>
      </w:r>
    </w:p>
    <w:p>
      <w:r>
        <w:br w:type="page"/>
      </w:r>
    </w:p>
    <w:p>
      <w:pPr>
        <w:pStyle w:val="Heading1"/>
        <w:keepNext/>
        <w:spacing w:after="140" w:before="320"/>
      </w:pPr>
      <w:r>
        <w:rPr>
          <w:rFonts w:ascii="Calibri" w:cs="Calibri" w:eastAsia="Calibri" w:hAnsi="Calibri"/>
          <w:b/>
          <w:bCs/>
          <w:color w:val="1F3864"/>
          <w:sz w:val="30"/>
          <w:szCs w:val="30"/>
        </w:rPr>
        <w:t xml:space="preserve">Master Scenario Events List (MSEL)</w:t>
      </w:r>
    </w:p>
    <w:p>
      <w:pPr>
        <w:spacing w:after="120" w:before="0" w:line="276"/>
      </w:pPr>
      <w:r>
        <w:rPr>
          <w:rFonts w:ascii="Calibri" w:cs="Calibri" w:eastAsia="Calibri" w:hAnsi="Calibri"/>
          <w:color w:val="404040"/>
          <w:sz w:val="21"/>
          <w:szCs w:val="21"/>
        </w:rPr>
        <w:t xml:space="preserve">Deliver injects at the indicated times, verbally or as printed artifacts. Timings assume a 2.5-hour delivery; compress or extend to fit the agreed schedule.</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1: Vendor Goes Dark</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Your team has been unable to reach anyone at [Vendor Name] for 6 hours. Their service remains down. Your operations team reports that [CUSTOMIZE: critical business function] is affected. A colleague at another company that uses the same vendor posts on a professional forum: “Anyone else having problems with [Vendor]? Our rep isn’t returning calls and their status page hasn’t been updated in 12 hours.”</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2: The Scope of Dependency</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Your operations manager presents a quick assessment: “Without [Vendor], we cannot [CUSTOMIZE: list 3–4 specific operational impacts]. We have approximately [CUSTOMIZE: 24–72 hours] before this starts affecting our clients directly. I don’t know of an alternative provider that could step in quickly.”</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3: Industry News Breaks</w:t>
      </w:r>
      <w:r>
        <w:rPr>
          <w:rFonts w:ascii="Calibri" w:cs="Calibri" w:eastAsia="Calibri" w:hAnsi="Calibri"/>
          <w:color w:val="404040"/>
          <w:sz w:val="21"/>
          <w:szCs w:val="21"/>
        </w:rPr>
        <w:t xml:space="preserve"/>
      </w:r>
    </w:p>
    <w:p>
      <w:pPr>
        <w:keepNext/>
        <w:spacing w:after="120" w:before="0" w:line="276"/>
      </w:pPr>
      <w:r>
        <w:rPr>
          <w:rFonts w:ascii="Calibri" w:cs="Calibri" w:eastAsia="Calibri" w:hAnsi="Calibri"/>
          <w:color w:val="404040"/>
          <w:sz w:val="21"/>
          <w:szCs w:val="21"/>
        </w:rPr>
        <w:t xml:space="preserve">An industry news outlet publishes a report:</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9360"/>
      </w:tblGrid>
      <w:tr>
        <w:tc>
          <w:tcPr>
            <w:tcW w:type="dxa" w:w="9360"/>
            <w:shd w:fill="595959" w:val="clear"/>
            <w:tcMar>
              <w:top w:type="dxa" w:w="80"/>
              <w:left w:type="dxa" w:w="160"/>
              <w:bottom w:type="dxa" w:w="80"/>
              <w:right w:type="dxa" w:w="160"/>
            </w:tcMar>
          </w:tcPr>
          <w:p>
            <w:pPr>
              <w:spacing w:after="0"/>
            </w:pPr>
            <w:r>
              <w:rPr>
                <w:rFonts w:ascii="Calibri" w:cs="Calibri" w:eastAsia="Calibri" w:hAnsi="Calibri"/>
                <w:b/>
                <w:bCs/>
                <w:color w:val="FFFFFF"/>
                <w:sz w:val="20"/>
                <w:szCs w:val="20"/>
              </w:rPr>
              <w:t xml:space="preserve">SIMULATED ARTIFACT — Industry News Alert</w:t>
            </w:r>
          </w:p>
        </w:tc>
      </w:tr>
      <w:tr>
        <w:tc>
          <w:tcPr>
            <w:tcW w:type="dxa" w:w="9360"/>
            <w:shd w:fill="FAFAFA" w:val="clear"/>
            <w:tcMar>
              <w:top w:type="dxa" w:w="120"/>
              <w:left w:type="dxa" w:w="200"/>
              <w:bottom w:type="dxa" w:w="120"/>
              <w:right w:type="dxa" w:w="200"/>
            </w:tcMar>
          </w:tcPr>
          <w:p>
            <w:pPr>
              <w:spacing w:after="60"/>
            </w:pPr>
            <w:r>
              <w:rPr>
                <w:rFonts w:ascii="Consolas" w:cs="Consolas" w:eastAsia="Consolas" w:hAnsi="Consolas"/>
                <w:color w:val="404040"/>
                <w:sz w:val="19"/>
                <w:szCs w:val="19"/>
              </w:rPr>
              <w:t xml:space="preserve">[NEWS OUTLET NAME] — BREAKING</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
            </w:r>
            <w:r>
              <w:rPr>
                <w:rFonts w:ascii="Consolas" w:cs="Consolas" w:eastAsia="Consolas" w:hAnsi="Consolas"/>
                <w:b/>
                <w:bCs/>
                <w:color w:val="404040"/>
                <w:sz w:val="19"/>
                <w:szCs w:val="19"/>
              </w:rPr>
              <w:t xml:space="preserve">[Vendor Name] Experiences Major Service Disruption; Sources Report Financial Difficulties</w:t>
            </w: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Multiple sources familiar with the situation report that [Vendor Name], a provider of [service type] to hundreds of businesses, is experiencing a major service outage now entering its second day. Industry sources suggest the disruption may be related to financial difficulties, with reports of unpaid hosting bills and staff departures over the past month.</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[Vendor Name] has not issued a public statement beyond a generic service disruption notice on their website.</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Clients of [Vendor Name] are advised to review their service agreements and consider contingency plans.</w:t>
            </w:r>
          </w:p>
        </w:tc>
      </w:tr>
    </w:tbl>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 Facilitator Note — Module 1</w:t>
            </w:r>
          </w:p>
          <w:p>
            <w:pPr>
              <w:spacing w:after="40" w:before="0" w:line="276"/>
            </w:pPr>
            <w:r>
              <w:rPr>
                <w:rFonts w:ascii="Calibri" w:cs="Calibri" w:eastAsia="Calibri" w:hAnsi="Calibri"/>
                <w:color w:val="404040"/>
                <w:sz w:val="20"/>
                <w:szCs w:val="20"/>
              </w:rPr>
              <w:t xml:space="preserve">Listen for: whether anyone can state precisely what the vendor provides and what breaks without it; whether SLA and contract terms are known or merely assumed; whether anyone flags that the organization’s data may sit on the vendor’s systems with no recovery plan, or that the vendor holds standing access to internal systems. Where the room cannot answer, do not fill the gap — document this uncertainty as a finding for the AAR.</w:t>
            </w:r>
          </w:p>
        </w:tc>
      </w:tr>
    </w:tbl>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4: Client Commitments at Risk</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Your [CUSTOMIZE: sales director / account manager] reports that [CUSTOMIZE: number] client deliverables due this week depend on the vendor’s service. “If we can’t deliver, we’re looking at [CUSTOMIZE: SLA penalties / contract breaches / lost clients]. Our biggest client has already asked why their [deliverable/service] is delayed.”</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5: Financial Impact Assessment</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The CFO presents a rough estimate: “Every day we’re without [Vendor], we lose approximately $[CUSTOMIZE: amount] in revenue and incur approximately $[CUSTOMIZE: amount] in manual workaround costs. If this extends beyond [CUSTOMIZE: X days], we’ll miss [CUSTOMIZE: financial obligation — payroll, loan covenant, quarterly target].”</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6: The Vendor Finally Responds</w:t>
      </w:r>
      <w:r>
        <w:rPr>
          <w:rFonts w:ascii="Calibri" w:cs="Calibri" w:eastAsia="Calibri" w:hAnsi="Calibri"/>
          <w:color w:val="404040"/>
          <w:sz w:val="21"/>
          <w:szCs w:val="21"/>
        </w:rPr>
        <w:t xml:space="preserve"/>
      </w:r>
    </w:p>
    <w:p>
      <w:pPr>
        <w:keepNext/>
        <w:spacing w:after="120" w:before="0" w:line="276"/>
      </w:pPr>
      <w:r>
        <w:rPr>
          <w:rFonts w:ascii="Calibri" w:cs="Calibri" w:eastAsia="Calibri" w:hAnsi="Calibri"/>
          <w:color w:val="404040"/>
          <w:sz w:val="21"/>
          <w:szCs w:val="21"/>
        </w:rPr>
        <w:t xml:space="preserve">After 36 hours of silence, a brief email arrives from the vendor:</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9360"/>
      </w:tblGrid>
      <w:tr>
        <w:tc>
          <w:tcPr>
            <w:tcW w:type="dxa" w:w="9360"/>
            <w:shd w:fill="595959" w:val="clear"/>
            <w:tcMar>
              <w:top w:type="dxa" w:w="80"/>
              <w:left w:type="dxa" w:w="160"/>
              <w:bottom w:type="dxa" w:w="80"/>
              <w:right w:type="dxa" w:w="160"/>
            </w:tcMar>
          </w:tcPr>
          <w:p>
            <w:pPr>
              <w:spacing w:after="0"/>
            </w:pPr>
            <w:r>
              <w:rPr>
                <w:rFonts w:ascii="Calibri" w:cs="Calibri" w:eastAsia="Calibri" w:hAnsi="Calibri"/>
                <w:b/>
                <w:bCs/>
                <w:color w:val="FFFFFF"/>
                <w:sz w:val="20"/>
                <w:szCs w:val="20"/>
              </w:rPr>
              <w:t xml:space="preserve">SIMULATED ARTIFACT — Email from Vendor</w:t>
            </w:r>
          </w:p>
        </w:tc>
      </w:tr>
      <w:tr>
        <w:tc>
          <w:tcPr>
            <w:tcW w:type="dxa" w:w="9360"/>
            <w:shd w:fill="FAFAFA" w:val="clear"/>
            <w:tcMar>
              <w:top w:type="dxa" w:w="120"/>
              <w:left w:type="dxa" w:w="200"/>
              <w:bottom w:type="dxa" w:w="120"/>
              <w:right w:type="dxa" w:w="200"/>
            </w:tcMar>
          </w:tcPr>
          <w:p>
            <w:pPr>
              <w:spacing w:after="60"/>
            </w:pPr>
            <w:r>
              <w:rPr>
                <w:rFonts w:ascii="Consolas" w:cs="Consolas" w:eastAsia="Consolas" w:hAnsi="Consolas"/>
                <w:color w:val="404040"/>
                <w:sz w:val="19"/>
                <w:szCs w:val="19"/>
              </w:rPr>
              <w:t xml:space="preserve"/>
            </w:r>
            <w:r>
              <w:rPr>
                <w:rFonts w:ascii="Consolas" w:cs="Consolas" w:eastAsia="Consolas" w:hAnsi="Consolas"/>
                <w:b/>
                <w:bCs/>
                <w:color w:val="404040"/>
                <w:sz w:val="19"/>
                <w:szCs w:val="19"/>
              </w:rPr>
              <w:t xml:space="preserve">From:</w:t>
            </w:r>
            <w:r>
              <w:rPr>
                <w:rFonts w:ascii="Consolas" w:cs="Consolas" w:eastAsia="Consolas" w:hAnsi="Consolas"/>
                <w:color w:val="404040"/>
                <w:sz w:val="19"/>
                <w:szCs w:val="19"/>
              </w:rPr>
              <w:t xml:space="preserve"> [Vendor CEO/Support]</w:t>
            </w:r>
          </w:p>
          <w:p>
            <w:pPr>
              <w:spacing w:after="60"/>
            </w:pPr>
            <w:r>
              <w:rPr>
                <w:rFonts w:ascii="Consolas" w:cs="Consolas" w:eastAsia="Consolas" w:hAnsi="Consolas"/>
                <w:color w:val="404040"/>
                <w:sz w:val="19"/>
                <w:szCs w:val="19"/>
              </w:rPr>
              <w:t xml:space="preserve"/>
            </w:r>
            <w:r>
              <w:rPr>
                <w:rFonts w:ascii="Consolas" w:cs="Consolas" w:eastAsia="Consolas" w:hAnsi="Consolas"/>
                <w:b/>
                <w:bCs/>
                <w:color w:val="404040"/>
                <w:sz w:val="19"/>
                <w:szCs w:val="19"/>
              </w:rPr>
              <w:t xml:space="preserve">To:</w:t>
            </w:r>
            <w:r>
              <w:rPr>
                <w:rFonts w:ascii="Consolas" w:cs="Consolas" w:eastAsia="Consolas" w:hAnsi="Consolas"/>
                <w:color w:val="404040"/>
                <w:sz w:val="19"/>
                <w:szCs w:val="19"/>
              </w:rPr>
              <w:t xml:space="preserve"> All Clients</w:t>
            </w:r>
          </w:p>
          <w:p>
            <w:pPr>
              <w:spacing w:after="60"/>
            </w:pPr>
            <w:r>
              <w:rPr>
                <w:rFonts w:ascii="Consolas" w:cs="Consolas" w:eastAsia="Consolas" w:hAnsi="Consolas"/>
                <w:color w:val="404040"/>
                <w:sz w:val="19"/>
                <w:szCs w:val="19"/>
              </w:rPr>
              <w:t xml:space="preserve"/>
            </w:r>
            <w:r>
              <w:rPr>
                <w:rFonts w:ascii="Consolas" w:cs="Consolas" w:eastAsia="Consolas" w:hAnsi="Consolas"/>
                <w:b/>
                <w:bCs/>
                <w:color w:val="404040"/>
                <w:sz w:val="19"/>
                <w:szCs w:val="19"/>
              </w:rPr>
              <w:t xml:space="preserve">Subject:</w:t>
            </w:r>
            <w:r>
              <w:rPr>
                <w:rFonts w:ascii="Consolas" w:cs="Consolas" w:eastAsia="Consolas" w:hAnsi="Consolas"/>
                <w:color w:val="404040"/>
                <w:sz w:val="19"/>
                <w:szCs w:val="19"/>
              </w:rPr>
              <w:t xml:space="preserve"> Service Update</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Dear Valued Client,</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We are experiencing an extended service disruption. We are working to restore full service. We do not have an estimated time for restoration at this time.</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We apologize for the inconvenience and will provide updates as they become available.</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Regards,</w:t>
            </w:r>
          </w:p>
          <w:p>
            <w:pPr>
              <w:spacing w:after="60"/>
            </w:pPr>
            <w:r>
              <w:rPr>
                <w:rFonts w:ascii="Consolas" w:cs="Consolas" w:eastAsia="Consolas" w:hAnsi="Consolas"/>
                <w:color w:val="404040"/>
                <w:sz w:val="19"/>
                <w:szCs w:val="19"/>
              </w:rPr>
              <w:t xml:space="preserve">[Vendor Name] Support Team</w:t>
            </w:r>
          </w:p>
        </w:tc>
      </w:tr>
    </w:tbl>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 Facilitator Note — Module 2</w:t>
            </w:r>
          </w:p>
          <w:p>
            <w:pPr>
              <w:spacing w:after="40" w:before="0" w:line="276"/>
            </w:pPr>
            <w:r>
              <w:rPr>
                <w:rFonts w:ascii="Calibri" w:cs="Calibri" w:eastAsia="Calibri" w:hAnsi="Calibri"/>
                <w:color w:val="404040"/>
                <w:sz w:val="20"/>
                <w:szCs w:val="20"/>
              </w:rPr>
              <w:t xml:space="preserve">Listen for: who has the authority to stop waiting and activate a contingency, and whether that threshold is defined or improvised; whether client communication is proactive or deferred until clients complain; whether anyone checks what the contract actually says about prolonged outages before proposing legal action. Note whether the vendor’s vague email shifts the room from patience to independent action — that shift is the module’s key decision. Document undefined activation authority as a finding for the AAR.</w:t>
            </w:r>
          </w:p>
        </w:tc>
      </w:tr>
    </w:tbl>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7: Vendor Situation Worsens</w:t>
      </w:r>
      <w:r>
        <w:rPr>
          <w:rFonts w:ascii="Calibri" w:cs="Calibri" w:eastAsia="Calibri" w:hAnsi="Calibri"/>
          <w:color w:val="404040"/>
          <w:sz w:val="21"/>
          <w:szCs w:val="21"/>
        </w:rPr>
        <w:t xml:space="preserve"/>
      </w:r>
    </w:p>
    <w:p>
      <w:pPr>
        <w:keepNext/>
        <w:spacing w:after="120" w:before="0" w:line="276"/>
      </w:pPr>
      <w:r>
        <w:rPr>
          <w:rFonts w:ascii="Calibri" w:cs="Calibri" w:eastAsia="Calibri" w:hAnsi="Calibri"/>
          <w:color w:val="404040"/>
          <w:sz w:val="21"/>
          <w:szCs w:val="21"/>
        </w:rPr>
        <w:t xml:space="preserve">Deliver one of the following branches (choose before delivery — see Customization Checklist):</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Option A:</w:t>
      </w:r>
      <w:r>
        <w:rPr>
          <w:rFonts w:ascii="Calibri" w:cs="Calibri" w:eastAsia="Calibri" w:hAnsi="Calibri"/>
          <w:color w:val="404040"/>
          <w:sz w:val="21"/>
          <w:szCs w:val="21"/>
        </w:rPr>
        <w:t xml:space="preserve"> The vendor announces they are entering bankruptcy. All client data will be available for download for 30 days, after which servers will be decommissioned.</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Option B:</w:t>
      </w:r>
      <w:r>
        <w:rPr>
          <w:rFonts w:ascii="Calibri" w:cs="Calibri" w:eastAsia="Calibri" w:hAnsi="Calibri"/>
          <w:color w:val="404040"/>
          <w:sz w:val="21"/>
          <w:szCs w:val="21"/>
        </w:rPr>
        <w:t xml:space="preserve"> The vendor restores service after 4 days but cannot explain what happened. They assure you that “no data was lost,” but they provide no evidence or incident report.</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8: The Board Asks Questions</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A board member [or owner / senior partner] calls: “I just heard about the vendor situation. How did we get so dependent on a single vendor with no backup plan? What is this costing us? And what are you doing to make sure this never happens again?”</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 Facilitator Note — Module 3</w:t>
            </w:r>
          </w:p>
          <w:p>
            <w:pPr>
              <w:spacing w:after="40" w:before="0" w:line="276"/>
            </w:pPr>
            <w:r>
              <w:rPr>
                <w:rFonts w:ascii="Calibri" w:cs="Calibri" w:eastAsia="Calibri" w:hAnsi="Calibri"/>
                <w:color w:val="404040"/>
                <w:sz w:val="20"/>
                <w:szCs w:val="20"/>
              </w:rPr>
              <w:t xml:space="preserve">Listen for: a concrete answer to the board’s question rather than defensiveness; whether vendor risk management is discussed as an ongoing program — dependency inventory, financial and security assessment of vendors, pre-qualified alternatives — or as a one-off fix; whether shared credentials or vendor access to systems and data surface as exposures. Document each gap without an owner, and each question the room cannot answer, as a finding for the AAR.</w:t>
            </w:r>
          </w:p>
        </w:tc>
      </w:tr>
    </w:tbl>
    <w:p>
      <w:pPr>
        <w:pStyle w:val="Heading2"/>
        <w:keepNext/>
        <w:spacing w:after="110" w:before="240"/>
      </w:pPr>
      <w:r>
        <w:rPr>
          <w:rFonts w:ascii="Calibri" w:cs="Calibri" w:eastAsia="Calibri" w:hAnsi="Calibri"/>
          <w:b/>
          <w:bCs/>
          <w:color w:val="2E74B5"/>
          <w:sz w:val="25"/>
          <w:szCs w:val="25"/>
        </w:rPr>
        <w:t xml:space="preserve">MSEL Summary</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700"/>
        <w:gridCol w:w="760"/>
        <w:gridCol w:w="900"/>
        <w:gridCol w:w="1060"/>
        <w:gridCol w:w="3140"/>
        <w:gridCol w:w="2800"/>
      </w:tblGrid>
      <w:tr>
        <w:trPr>
          <w:tblHeader/>
        </w:trPr>
        <w:tc>
          <w:tcPr>
            <w:tcW w:type="dxa" w:w="7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Inject</w:t>
            </w:r>
          </w:p>
        </w:tc>
        <w:tc>
          <w:tcPr>
            <w:tcW w:type="dxa" w:w="7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Time</w:t>
            </w:r>
          </w:p>
        </w:tc>
        <w:tc>
          <w:tcPr>
            <w:tcW w:type="dxa" w:w="9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Module</w:t>
            </w:r>
          </w:p>
        </w:tc>
        <w:tc>
          <w:tcPr>
            <w:tcW w:type="dxa" w:w="10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Method</w:t>
            </w:r>
          </w:p>
        </w:tc>
        <w:tc>
          <w:tcPr>
            <w:tcW w:type="dxa" w:w="314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Content Summary</w:t>
            </w:r>
          </w:p>
        </w:tc>
        <w:tc>
          <w:tcPr>
            <w:tcW w:type="dxa" w:w="28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Expected Discussion</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7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+0:00</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10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314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Vendor unreachable, service intermittent/down</w:t>
            </w:r>
          </w:p>
        </w:tc>
        <w:tc>
          <w:tcPr>
            <w:tcW w:type="dxa" w:w="2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Dependency assessment, immediate workarounds</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7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+0:10</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10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314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Operations manager: scope of dependency revealed</w:t>
            </w:r>
          </w:p>
        </w:tc>
        <w:tc>
          <w:tcPr>
            <w:tcW w:type="dxa" w:w="2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Continuity planning, alternative identification</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c>
          <w:tcPr>
            <w:tcW w:type="dxa" w:w="7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+0:25</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10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Artifact</w:t>
            </w:r>
          </w:p>
        </w:tc>
        <w:tc>
          <w:tcPr>
            <w:tcW w:type="dxa" w:w="314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News report: vendor financial difficulties</w:t>
            </w:r>
          </w:p>
        </w:tc>
        <w:tc>
          <w:tcPr>
            <w:tcW w:type="dxa" w:w="2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Risk reassessment, data exposure, contract review</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4</w:t>
            </w:r>
          </w:p>
        </w:tc>
        <w:tc>
          <w:tcPr>
            <w:tcW w:type="dxa" w:w="7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+0:35</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10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314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 commitments at risk</w:t>
            </w:r>
          </w:p>
        </w:tc>
        <w:tc>
          <w:tcPr>
            <w:tcW w:type="dxa" w:w="2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 communication, prioritization, SLA review</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5</w:t>
            </w:r>
          </w:p>
        </w:tc>
        <w:tc>
          <w:tcPr>
            <w:tcW w:type="dxa" w:w="7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+0:50</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10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314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CFO: daily financial impact estimate</w:t>
            </w:r>
          </w:p>
        </w:tc>
        <w:tc>
          <w:tcPr>
            <w:tcW w:type="dxa" w:w="2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Financial decision-making, cost of inaction</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6</w:t>
            </w:r>
          </w:p>
        </w:tc>
        <w:tc>
          <w:tcPr>
            <w:tcW w:type="dxa" w:w="7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+1:00</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10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Artifact</w:t>
            </w:r>
          </w:p>
        </w:tc>
        <w:tc>
          <w:tcPr>
            <w:tcW w:type="dxa" w:w="314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Vendor’s vague response email</w:t>
            </w:r>
          </w:p>
        </w:tc>
        <w:tc>
          <w:tcPr>
            <w:tcW w:type="dxa" w:w="2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Vendor trust, contingency activation, legal options</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7</w:t>
            </w:r>
          </w:p>
        </w:tc>
        <w:tc>
          <w:tcPr>
            <w:tcW w:type="dxa" w:w="7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+1:25</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c>
          <w:tcPr>
            <w:tcW w:type="dxa" w:w="10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314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Vendor bankruptcy or unexplained restoration</w:t>
            </w:r>
          </w:p>
        </w:tc>
        <w:tc>
          <w:tcPr>
            <w:tcW w:type="dxa" w:w="2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Data protection, long-term vendor strategy</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8</w:t>
            </w:r>
          </w:p>
        </w:tc>
        <w:tc>
          <w:tcPr>
            <w:tcW w:type="dxa" w:w="7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+1:40</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c>
          <w:tcPr>
            <w:tcW w:type="dxa" w:w="10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314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Board member asks tough questions</w:t>
            </w:r>
          </w:p>
        </w:tc>
        <w:tc>
          <w:tcPr>
            <w:tcW w:type="dxa" w:w="2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Accountability, structural change, vendor risk management</w:t>
            </w:r>
          </w:p>
        </w:tc>
      </w:tr>
    </w:tbl>
    <w:p>
      <w:r>
        <w:br w:type="page"/>
      </w:r>
    </w:p>
    <w:p>
      <w:pPr>
        <w:pStyle w:val="Heading1"/>
        <w:keepNext/>
        <w:spacing w:after="140" w:before="320"/>
      </w:pPr>
      <w:r>
        <w:rPr>
          <w:rFonts w:ascii="Calibri" w:cs="Calibri" w:eastAsia="Calibri" w:hAnsi="Calibri"/>
          <w:b/>
          <w:bCs/>
          <w:color w:val="1F3864"/>
          <w:sz w:val="30"/>
          <w:szCs w:val="30"/>
        </w:rPr>
        <w:t xml:space="preserve">Facilitator Notes</w:t>
      </w:r>
    </w:p>
    <w:p>
      <w:pPr>
        <w:pStyle w:val="Heading2"/>
        <w:keepNext/>
        <w:spacing w:after="110" w:before="240"/>
      </w:pPr>
      <w:r>
        <w:rPr>
          <w:rFonts w:ascii="Calibri" w:cs="Calibri" w:eastAsia="Calibri" w:hAnsi="Calibri"/>
          <w:b/>
          <w:bCs/>
          <w:color w:val="2E74B5"/>
          <w:sz w:val="25"/>
          <w:szCs w:val="25"/>
        </w:rPr>
        <w:t xml:space="preserve">Framing Reminders</w:t>
      </w:r>
    </w:p>
    <w:p>
      <w:pPr>
        <w:pStyle w:val="ListParagraph"/>
        <w:numPr>
          <w:ilvl w:val="0"/>
          <w:numId w:val="2"/>
        </w:numPr>
        <w:spacing w:after="80" w:line="276"/>
      </w:pPr>
      <w:r>
        <w:rPr>
          <w:rFonts w:ascii="Calibri" w:cs="Calibri" w:eastAsia="Calibri" w:hAnsi="Calibri"/>
          <w:color w:val="404040"/>
          <w:sz w:val="21"/>
          <w:szCs w:val="21"/>
        </w:rPr>
        <w:t xml:space="preserve">This is a discussion-based business response exercise, not a technical response exercise. The objective is decision-making, communication, and coordination under uncertainty — not root-cause analysis, forensics, or technical troubleshooting.</w:t>
      </w:r>
    </w:p>
    <w:p>
      <w:pPr>
        <w:pStyle w:val="ListParagraph"/>
        <w:numPr>
          <w:ilvl w:val="0"/>
          <w:numId w:val="2"/>
        </w:numPr>
        <w:spacing w:after="80" w:line="276"/>
      </w:pPr>
      <w:r>
        <w:rPr>
          <w:rFonts w:ascii="Calibri" w:cs="Calibri" w:eastAsia="Calibri" w:hAnsi="Calibri"/>
          <w:color w:val="404040"/>
          <w:sz w:val="21"/>
          <w:szCs w:val="21"/>
        </w:rPr>
        <w:t xml:space="preserve">When discussion drifts into technical detail, acknowledge the technical question, then redirect: “Given you don’t have an immediate answer to that technical question, what do you do next?” The exercise tests what the business does while the technical answer is unavailable.</w:t>
      </w:r>
    </w:p>
    <w:p>
      <w:pPr>
        <w:pStyle w:val="ListParagraph"/>
        <w:numPr>
          <w:ilvl w:val="0"/>
          <w:numId w:val="2"/>
        </w:numPr>
        <w:spacing w:after="80" w:line="276"/>
      </w:pPr>
      <w:r>
        <w:rPr>
          <w:rFonts w:ascii="Calibri" w:cs="Calibri" w:eastAsia="Calibri" w:hAnsi="Calibri"/>
          <w:color w:val="404040"/>
          <w:sz w:val="21"/>
          <w:szCs w:val="21"/>
        </w:rPr>
        <w:t xml:space="preserve">Do not supply answers. Where the room cannot answer a question, the gap is the finding — document it for the After-Action Report (AAR) rather than resolving it in the moment.</w:t>
      </w:r>
    </w:p>
    <w:p>
      <w:pPr>
        <w:pStyle w:val="ListParagraph"/>
        <w:numPr>
          <w:ilvl w:val="0"/>
          <w:numId w:val="2"/>
        </w:numPr>
        <w:spacing w:after="80" w:line="276"/>
      </w:pPr>
      <w:r>
        <w:rPr>
          <w:rFonts w:ascii="Calibri" w:cs="Calibri" w:eastAsia="Calibri" w:hAnsi="Calibri"/>
          <w:color w:val="404040"/>
          <w:sz w:val="21"/>
          <w:szCs w:val="21"/>
        </w:rPr>
        <w:t xml:space="preserve">Keep modules to their timebox. Park unresolved threads visibly and return to them in the hot wash if time allows.</w:t>
      </w:r>
    </w:p>
    <w:p>
      <w:pPr>
        <w:pStyle w:val="Heading2"/>
        <w:keepNext/>
        <w:spacing w:after="110" w:before="240"/>
      </w:pPr>
      <w:r>
        <w:rPr>
          <w:rFonts w:ascii="Calibri" w:cs="Calibri" w:eastAsia="Calibri" w:hAnsi="Calibri"/>
          <w:b/>
          <w:bCs/>
          <w:color w:val="2E74B5"/>
          <w:sz w:val="25"/>
          <w:szCs w:val="25"/>
        </w:rPr>
        <w:t xml:space="preserve">Running the Inject 7 Branch</w:t>
      </w:r>
    </w:p>
    <w:p>
      <w:pPr>
        <w:spacing w:after="120" w:before="0" w:line="276"/>
      </w:pPr>
      <w:r>
        <w:rPr>
          <w:rFonts w:ascii="Calibri" w:cs="Calibri" w:eastAsia="Calibri" w:hAnsi="Calibri"/>
          <w:color w:val="404040"/>
          <w:sz w:val="21"/>
          <w:szCs w:val="21"/>
        </w:rPr>
        <w:t xml:space="preserve">Inject 7 forks the scenario. Option A (bankruptcy) produces the highest urgency — a 30-day window to extract data and stand up an alternative before the vendor’s servers are decommissioned. Option B (unexplained restoration) produces the harder trust conversation: service is back, the pressure is off, and the question becomes whether anything actually changes. Choose the branch with the client coordinator before delivery — A for maximum impact, B for organizations likely to declare victory and move on.</w:t>
      </w:r>
    </w:p>
    <w:p>
      <w:pPr>
        <w:pStyle w:val="Heading2"/>
        <w:keepNext/>
        <w:spacing w:after="110" w:before="240"/>
      </w:pPr>
      <w:r>
        <w:rPr>
          <w:rFonts w:ascii="Calibri" w:cs="Calibri" w:eastAsia="Calibri" w:hAnsi="Calibri"/>
          <w:b/>
          <w:bCs/>
          <w:color w:val="2E74B5"/>
          <w:sz w:val="25"/>
          <w:szCs w:val="25"/>
        </w:rPr>
        <w:t xml:space="preserve">Common Participant Responses and Probe Questions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500"/>
        <w:gridCol w:w="5860"/>
      </w:tblGrid>
      <w:tr>
        <w:trPr>
          <w:tblHeader/>
        </w:trPr>
        <w:tc>
          <w:tcPr>
            <w:tcW w:type="dxa" w:w="35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If Participants...</w:t>
            </w:r>
          </w:p>
        </w:tc>
        <w:tc>
          <w:tcPr>
            <w:tcW w:type="dxa" w:w="58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Probe With...</w:t>
            </w:r>
          </w:p>
        </w:tc>
      </w:tr>
      <w:tr>
        <w:tc>
          <w:tcPr>
            <w:tcW w:type="dxa" w:w="3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“We’d just find another vendor”</w:t>
            </w:r>
          </w:p>
        </w:tc>
        <w:tc>
          <w:tcPr>
            <w:tcW w:type="dxa" w:w="5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“How quickly? Do you have a pre-qualified alternative? What is the onboarding timeline? What happens to your operations in the gap?”</w:t>
            </w:r>
          </w:p>
        </w:tc>
      </w:tr>
      <w:tr>
        <w:tc>
          <w:tcPr>
            <w:tcW w:type="dxa" w:w="3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“This wouldn’t happen to our vendors”</w:t>
            </w:r>
          </w:p>
        </w:tc>
        <w:tc>
          <w:tcPr>
            <w:tcW w:type="dxa" w:w="5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“Have you assessed your vendors’ financial stability? Their security posture? When was the last time you reviewed their business continuity capability?”</w:t>
            </w:r>
          </w:p>
        </w:tc>
      </w:tr>
      <w:tr>
        <w:tc>
          <w:tcPr>
            <w:tcW w:type="dxa" w:w="3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“We’d sue them for breach of contract”</w:t>
            </w:r>
          </w:p>
        </w:tc>
        <w:tc>
          <w:tcPr>
            <w:tcW w:type="dxa" w:w="5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“That’s a 6-month process. Your operations are down today. What does your contract actually say about prolonged outages? Do you know the SLA terms?”</w:t>
            </w:r>
          </w:p>
        </w:tc>
      </w:tr>
      <w:tr>
        <w:tc>
          <w:tcPr>
            <w:tcW w:type="dxa" w:w="3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Accept the vendor’s vague response at face value</w:t>
            </w:r>
          </w:p>
        </w:tc>
        <w:tc>
          <w:tcPr>
            <w:tcW w:type="dxa" w:w="5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“The vendor said ‘we’re working on it’ with no timeline, no scope, no root cause. What does that silence tell you? At what point do you stop waiting and start acting independently?”</w:t>
            </w:r>
          </w:p>
        </w:tc>
      </w:tr>
      <w:tr>
        <w:tc>
          <w:tcPr>
            <w:tcW w:type="dxa" w:w="3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Don’t address the board accountability question</w:t>
            </w:r>
          </w:p>
        </w:tc>
        <w:tc>
          <w:tcPr>
            <w:tcW w:type="dxa" w:w="5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 board member just asked how you got this dependent on a single vendor. That’s a fair question. What is your honest answer? What changes would prevent this conversation next time?”</w:t>
            </w:r>
          </w:p>
        </w:tc>
      </w:tr>
      <w:tr>
        <w:tc>
          <w:tcPr>
            <w:tcW w:type="dxa" w:w="3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Skip client communication entirely</w:t>
            </w:r>
          </w:p>
        </w:tc>
        <w:tc>
          <w:tcPr>
            <w:tcW w:type="dxa" w:w="5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“Your largest client has a deliverable due this week that depends on this vendor. They don’t know about the disruption yet. What do you tell them? When? Do you blame the vendor or take ownership?”</w:t>
            </w:r>
          </w:p>
        </w:tc>
      </w:tr>
    </w:tbl>
    <w:p>
      <w:pPr>
        <w:pStyle w:val="Heading1"/>
        <w:keepNext/>
        <w:spacing w:after="140" w:before="320"/>
      </w:pPr>
      <w:r>
        <w:rPr>
          <w:rFonts w:ascii="Calibri" w:cs="Calibri" w:eastAsia="Calibri" w:hAnsi="Calibri"/>
          <w:b/>
          <w:bCs/>
          <w:color w:val="1F3864"/>
          <w:sz w:val="30"/>
          <w:szCs w:val="30"/>
        </w:rPr>
        <w:t xml:space="preserve">Customization Checklist</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2400"/>
        <w:gridCol w:w="3100"/>
        <w:gridCol w:w="3860"/>
      </w:tblGrid>
      <w:tr>
        <w:trPr>
          <w:tblHeader/>
        </w:trPr>
        <w:tc>
          <w:tcPr>
            <w:tcW w:type="dxa" w:w="24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Element</w:t>
            </w:r>
          </w:p>
        </w:tc>
        <w:tc>
          <w:tcPr>
            <w:tcW w:type="dxa" w:w="31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Default</w:t>
            </w:r>
          </w:p>
        </w:tc>
        <w:tc>
          <w:tcPr>
            <w:tcW w:type="dxa" w:w="38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Customize To</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Organization name</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[ORGANIZATION NAME]</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Client’s legal or trading name from the Client Intake Packet</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Vendor type</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Cloud SaaS provider</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Client’s most critical vendor from intake Section 4</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Service provided</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Primary business platform</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Specific service the vendor delivers</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Vendor relationship length</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Several years, no pre-qualified alternative</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Actual relationship history from intake</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Revenue dependency</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60%</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Based on intake assessment</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 impact</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Generic deliverable deadlines</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Client’s actual downstream obligations</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Financial impact per day</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$10,000–$50,000</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Scale to client’s revenue and operational cost</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Option A or B (Module 3)</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Choose based on drama level</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 (bankruptcy) for maximum impact; B (unexplained restoration) for trust discussion</w:t>
            </w:r>
          </w:p>
        </w:tc>
      </w:tr>
    </w:tbl>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2E74B5" w:sz="24"/>
              <w:bottom w:val="none" w:color="FFFFFF" w:sz="0"/>
              <w:right w:val="none" w:color="FFFFFF" w:sz="0"/>
            </w:tcBorders>
            <w:shd w:fill="DEEBF7" w:val="clear"/>
            <w:tcMar>
              <w:top w:type="dxa" w:w="100"/>
              <w:left w:type="dxa" w:w="160"/>
              <w:bottom w:type="dxa" w:w="100"/>
              <w:right w:type="dxa" w:w="160"/>
            </w:tcMar>
          </w:tcPr>
          <w:p>
            <w:pPr>
              <w:spacing w:after="60"/>
            </w:pPr>
            <w:r>
              <w:rPr>
                <w:rFonts w:ascii="Calibri" w:cs="Calibri" w:eastAsia="Calibri" w:hAnsi="Calibri"/>
                <w:b/>
                <w:bCs/>
                <w:color w:val="2E74B5"/>
                <w:sz w:val="20"/>
                <w:szCs w:val="20"/>
              </w:rPr>
              <w:t xml:space="preserve">✎  CUSTOMIZE — Before Delivery</w:t>
            </w:r>
          </w:p>
          <w:p>
            <w:pPr>
              <w:spacing w:after="40" w:before="0" w:line="276"/>
            </w:pPr>
            <w:r>
              <w:rPr>
                <w:rFonts w:ascii="Calibri" w:cs="Calibri" w:eastAsia="Calibri" w:hAnsi="Calibri"/>
                <w:color w:val="404040"/>
                <w:sz w:val="20"/>
                <w:szCs w:val="20"/>
              </w:rPr>
              <w:t xml:space="preserve">Replace every [CUSTOMIZE] tag in the narrative and artifacts with client-specific detail from the Client Intake Packet. Verify internal consistency and plausibility. The scenario summary goes to the client for approval via Pre-Exercise Forms (02 - Contract folder), Form A.</w:t>
            </w:r>
          </w:p>
        </w:tc>
      </w:tr>
    </w:tbl>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595959" w:sz="24"/>
              <w:bottom w:val="none" w:color="FFFFFF" w:sz="0"/>
              <w:right w:val="none" w:color="FFFFFF" w:sz="0"/>
            </w:tcBorders>
            <w:shd w:fill="F2F2F2" w:val="clear"/>
            <w:tcMar>
              <w:top w:type="dxa" w:w="100"/>
              <w:left w:type="dxa" w:w="160"/>
              <w:bottom w:type="dxa" w:w="100"/>
              <w:right w:type="dxa" w:w="160"/>
            </w:tcMar>
          </w:tcPr>
          <w:p>
            <w:pPr>
              <w:spacing w:after="60"/>
            </w:pPr>
            <w:r>
              <w:rPr>
                <w:rFonts w:ascii="Calibri" w:cs="Calibri" w:eastAsia="Calibri" w:hAnsi="Calibri"/>
                <w:b/>
                <w:bCs/>
                <w:color w:val="595959"/>
                <w:sz w:val="20"/>
                <w:szCs w:val="20"/>
              </w:rPr>
              <w:t xml:space="preserve">NOTE — Regulatory Reference Disclaimer</w:t>
            </w:r>
          </w:p>
          <w:p>
            <w:pPr>
              <w:spacing w:after="40" w:before="0" w:line="276"/>
            </w:pPr>
            <w:r>
              <w:rPr>
                <w:rFonts w:ascii="Calibri" w:cs="Calibri" w:eastAsia="Calibri" w:hAnsi="Calibri"/>
                <w:color w:val="404040"/>
                <w:sz w:val="20"/>
                <w:szCs w:val="20"/>
              </w:rPr>
              <w:t xml:space="preserve">Regulatory requirements, notification timelines, and compliance obligations referenced in this scenario are illustrative and based on information available at the time of scenario development (July 2026). They should not be relied upon as current legal guidance. Regulations, notification timelines, enforcement interpretations, and jurisdictional requirements change. Participants and clients should consult qualified legal counsel for current regulatory requirements applicable to their specific jurisdiction, industry, and circumstances.</w:t>
            </w:r>
          </w:p>
        </w:tc>
      </w:tr>
    </w:tbl>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595959"/>
        <w:sz w:val="17"/>
        <w:szCs w:val="17"/>
      </w:rPr>
      <w:t xml:space="preserve">v1.0  ·  Page </w:t>
    </w:r>
    <w:r>
      <w:rPr>
        <w:rFonts w:ascii="Calibri" w:cs="Calibri" w:eastAsia="Calibri" w:hAnsi="Calibri"/>
        <w:color w:val="595959"/>
        <w:sz w:val="17"/>
        <w:szCs w:val="17"/>
      </w:rPr>
      <w:fldChar w:fldCharType="begin"/>
      <w:instrText xml:space="preserve">PAGE</w:instrText>
      <w:fldChar w:fldCharType="separate"/>
      <w:fldChar w:fldCharType="end"/>
    </w:r>
    <w:r>
      <w:rPr>
        <w:rFonts w:ascii="Calibri" w:cs="Calibri" w:eastAsia="Calibri" w:hAnsi="Calibri"/>
        <w:color w:val="595959"/>
        <w:sz w:val="17"/>
        <w:szCs w:val="17"/>
      </w:rPr>
      <w:t xml:space="preserve"> of </w:t>
    </w:r>
    <w:r>
      <w:rPr>
        <w:rFonts w:ascii="Calibri" w:cs="Calibri" w:eastAsia="Calibri" w:hAnsi="Calibri"/>
        <w:color w:val="595959"/>
        <w:sz w:val="17"/>
        <w:szCs w:val="17"/>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3"/>
      </w:pBdr>
    </w:pPr>
    <w:r>
      <w:rPr>
        <w:rFonts w:ascii="Calibri" w:cs="Calibri" w:eastAsia="Calibri" w:hAnsi="Calibri"/>
        <w:color w:val="595959"/>
        <w:sz w:val="17"/>
        <w:szCs w:val="17"/>
      </w:rPr>
      <w:t xml:space="preserve">Business Resilience Pulse Check   |   GS-4 Supply Chain Failure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30"/>
      </w:pPr>
    </w:lvl>
  </w:abstractNum>
  <w:abstractNum w:abstractNumId="3" w15:restartNumberingAfterBreak="0">
    <w:multiLevelType w:val="hybridMultilevel"/>
    <w:lvl w:ilvl="0" w15:tentative="1">
      <w:start w:val="1"/>
      <w:numFmt w:val="decimal"/>
      <w:lvlText w:val="%1."/>
      <w:lvlJc w:val="left"/>
      <w:pPr>
        <w:ind w:left="460" w:hanging="320"/>
      </w:pPr>
    </w:lvl>
  </w:abstractNum>
  <w:abstractNum w:abstractNumId="4" w15:restartNumberingAfterBreak="0">
    <w:multiLevelType w:val="hybridMultilevel"/>
    <w:lvl w:ilvl="0" w15:tentative="1">
      <w:start w:val="1"/>
      <w:numFmt w:val="decimal"/>
      <w:lvlText w:val="%1."/>
      <w:lvlJc w:val="left"/>
      <w:pPr>
        <w:ind w:left="460" w:hanging="320"/>
      </w:pPr>
    </w:lvl>
  </w:abstractNum>
  <w:abstractNum w:abstractNumId="5" w15:restartNumberingAfterBreak="0">
    <w:multiLevelType w:val="hybridMultilevel"/>
    <w:lvl w:ilvl="0" w15:tentative="1">
      <w:start w:val="1"/>
      <w:numFmt w:val="decimal"/>
      <w:lvlText w:val="%1."/>
      <w:lvlJc w:val="left"/>
      <w:pPr>
        <w:ind w:left="460" w:hanging="320"/>
      </w:pPr>
    </w:lvl>
  </w:abstractNum>
  <w:abstractNum w:abstractNumId="6" w15:restartNumberingAfterBreak="0">
    <w:multiLevelType w:val="hybridMultilevel"/>
    <w:lvl w:ilvl="0" w15:tentative="1">
      <w:start w:val="1"/>
      <w:numFmt w:val="decimal"/>
      <w:lvlText w:val="%1."/>
      <w:lvlJc w:val="left"/>
      <w:pPr>
        <w:ind w:left="460" w:hanging="320"/>
      </w:pPr>
    </w:lvl>
  </w:abstractNum>
  <w:abstractNum w:abstractNumId="7" w15:restartNumberingAfterBreak="0">
    <w:multiLevelType w:val="hybridMultilevel"/>
    <w:lvl w:ilvl="0" w15:tentative="1">
      <w:start w:val="1"/>
      <w:numFmt w:val="decimal"/>
      <w:lvlText w:val="%1."/>
      <w:lvlJc w:val="left"/>
      <w:pPr>
        <w:ind w:left="460" w:hanging="320"/>
      </w:pPr>
    </w:lvl>
  </w:abstractNum>
  <w:abstractNum w:abstractNumId="8" w15:restartNumberingAfterBreak="0">
    <w:multiLevelType w:val="hybridMultilevel"/>
    <w:lvl w:ilvl="0" w15:tentative="1">
      <w:start w:val="1"/>
      <w:numFmt w:val="decimal"/>
      <w:lvlText w:val="%1."/>
      <w:lvlJc w:val="left"/>
      <w:pPr>
        <w:ind w:left="460" w:hanging="320"/>
      </w:pPr>
    </w:lvl>
  </w:abstractNum>
  <w:abstractNum w:abstractNumId="9" w15:restartNumberingAfterBreak="0">
    <w:multiLevelType w:val="hybridMultilevel"/>
    <w:lvl w:ilvl="0" w15:tentative="1">
      <w:start w:val="1"/>
      <w:numFmt w:val="decimal"/>
      <w:lvlText w:val="%1."/>
      <w:lvlJc w:val="left"/>
      <w:pPr>
        <w:ind w:left="460" w:hanging="320"/>
      </w:pPr>
    </w:lvl>
  </w:abstractNum>
  <w:abstractNum w:abstractNumId="10" w15:restartNumberingAfterBreak="0">
    <w:multiLevelType w:val="hybridMultilevel"/>
    <w:lvl w:ilvl="0" w15:tentative="1">
      <w:start w:val="1"/>
      <w:numFmt w:val="decimal"/>
      <w:lvlText w:val="%1."/>
      <w:lvlJc w:val="left"/>
      <w:pPr>
        <w:ind w:left="460" w:hanging="32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404040"/>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outlineLvl w:val="0"/>
    </w:pPr>
    <w:rPr>
      <w:rFonts w:ascii="Calibri" w:cs="Calibri" w:eastAsia="Calibri" w:hAnsi="Calibri"/>
      <w:b/>
      <w:bCs/>
      <w:color w:val="1F3864"/>
      <w:sz w:val="30"/>
      <w:szCs w:val="30"/>
    </w:rPr>
  </w:style>
  <w:style w:type="paragraph" w:styleId="Heading2">
    <w:name w:val="Heading 2"/>
    <w:basedOn w:val="Normal"/>
    <w:next w:val="Normal"/>
    <w:qFormat/>
    <w:pPr>
      <w:outlineLvl w:val="1"/>
    </w:pPr>
    <w:rPr>
      <w:rFonts w:ascii="Calibri" w:cs="Calibri" w:eastAsia="Calibri" w:hAnsi="Calibri"/>
      <w:b/>
      <w:bCs/>
      <w:color w:val="2E74B5"/>
      <w:sz w:val="25"/>
      <w:szCs w:val="25"/>
    </w:rPr>
  </w:style>
  <w:style w:type="paragraph" w:styleId="Heading3">
    <w:name w:val="Heading 3"/>
    <w:basedOn w:val="Normal"/>
    <w:next w:val="Normal"/>
    <w:qFormat/>
    <w:pPr>
      <w:outlineLvl w:val="2"/>
    </w:pPr>
    <w:rPr>
      <w:rFonts w:ascii="Calibri" w:cs="Calibri" w:eastAsia="Calibri" w:hAnsi="Calibri"/>
      <w:b/>
      <w:bCs/>
      <w:color w:val="1F3864"/>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2026-07-14T20:01:40.710Z</dcterms:created>
  <dcterms:modified xsi:type="dcterms:W3CDTF">2026-07-14T20:01:40.710Z</dcterms:modified>
</cp:coreProperties>
</file>

<file path=docProps/custom.xml><?xml version="1.0" encoding="utf-8"?>
<Properties xmlns="http://schemas.openxmlformats.org/officeDocument/2006/custom-properties" xmlns:vt="http://schemas.openxmlformats.org/officeDocument/2006/docPropsVTypes"/>
</file>